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96D4" w14:textId="77777777" w:rsidR="005852C2" w:rsidRDefault="00C337B6">
      <w:pPr>
        <w:ind w:right="141" w:firstLine="0"/>
        <w:rPr>
          <w:iCs/>
        </w:rPr>
      </w:pPr>
      <w:r>
        <w:rPr>
          <w:bCs/>
        </w:rPr>
        <w:t>Приложение:</w:t>
      </w:r>
      <w:r>
        <w:rPr>
          <w:b/>
        </w:rPr>
        <w:t xml:space="preserve"> «</w:t>
      </w:r>
      <w:r>
        <w:rPr>
          <w:iCs/>
        </w:rPr>
        <w:t xml:space="preserve">Разъяснения по заполнению формы 1-КСР (основные индикаторы)». </w:t>
      </w:r>
    </w:p>
    <w:p w14:paraId="46B12DF0" w14:textId="77777777" w:rsidR="005852C2" w:rsidRDefault="005852C2">
      <w:pPr>
        <w:spacing w:line="360" w:lineRule="auto"/>
        <w:rPr>
          <w:iCs/>
        </w:rPr>
      </w:pPr>
    </w:p>
    <w:p w14:paraId="163C31BF" w14:textId="77777777" w:rsidR="005852C2" w:rsidRDefault="00C337B6">
      <w:pPr>
        <w:rPr>
          <w:iCs/>
        </w:rPr>
      </w:pPr>
      <w:r>
        <w:rPr>
          <w:iCs/>
        </w:rPr>
        <w:t>При заполнении отчета по форме № 1-КСР (основные индикаторы</w:t>
      </w:r>
      <w:r>
        <w:rPr>
          <w:iCs/>
        </w:rPr>
        <w:t>) «Сведения о деятельности коллективного средства размещения» следует руководствоваться указаниями и методологическими пояснениями, размещенными на бланке формы.</w:t>
      </w:r>
    </w:p>
    <w:p w14:paraId="1E4D32E6" w14:textId="77777777" w:rsidR="005852C2" w:rsidRDefault="00C337B6">
      <w:pPr>
        <w:rPr>
          <w:iCs/>
        </w:rPr>
      </w:pPr>
      <w:r>
        <w:t>Обращаем ваше внимание на заполнение титульного листа.</w:t>
      </w:r>
    </w:p>
    <w:p w14:paraId="12A6521C" w14:textId="77777777" w:rsidR="005852C2" w:rsidRDefault="00C337B6">
      <w:pPr>
        <w:shd w:val="clear" w:color="auto" w:fill="FFFFFF"/>
      </w:pPr>
      <w:r>
        <w:t>В титульном листе обязательно должно бы</w:t>
      </w:r>
      <w:r>
        <w:t>ть указано наименование коллективного средства размещения. Почтовый адрес предприятия – адрес юридического лица и Почтовый адрес коллективного средства размещения – фактический адрес коллективного средства размещения.</w:t>
      </w:r>
    </w:p>
    <w:p w14:paraId="11A8CAA0" w14:textId="77777777" w:rsidR="005852C2" w:rsidRDefault="005852C2">
      <w:pPr>
        <w:rPr>
          <w:iCs/>
        </w:rPr>
      </w:pPr>
    </w:p>
    <w:p w14:paraId="1372166C" w14:textId="77777777" w:rsidR="005852C2" w:rsidRDefault="00C337B6">
      <w:pPr>
        <w:rPr>
          <w:iCs/>
        </w:rPr>
      </w:pPr>
      <w:r>
        <w:rPr>
          <w:iCs/>
        </w:rPr>
        <w:t xml:space="preserve"> Также следует обратить внимание на с</w:t>
      </w:r>
      <w:r>
        <w:rPr>
          <w:iCs/>
        </w:rPr>
        <w:t xml:space="preserve">ледующие изменения в форме:   </w:t>
      </w:r>
    </w:p>
    <w:p w14:paraId="1AD2ECDA" w14:textId="77777777" w:rsidR="005852C2" w:rsidRDefault="00C337B6">
      <w:pPr>
        <w:rPr>
          <w:iCs/>
        </w:rPr>
      </w:pPr>
      <w:r>
        <w:rPr>
          <w:iCs/>
        </w:rPr>
        <w:t xml:space="preserve">  </w:t>
      </w:r>
    </w:p>
    <w:p w14:paraId="28D522D7" w14:textId="77777777" w:rsidR="005852C2" w:rsidRDefault="00C337B6">
      <w:pPr>
        <w:rPr>
          <w:iCs/>
        </w:rPr>
      </w:pPr>
      <w:r>
        <w:rPr>
          <w:iCs/>
        </w:rPr>
        <w:t>Раздел 2. Номерной фонд</w:t>
      </w:r>
    </w:p>
    <w:p w14:paraId="13A65C10" w14:textId="77777777" w:rsidR="005852C2" w:rsidRDefault="005852C2">
      <w:pPr>
        <w:rPr>
          <w:iCs/>
        </w:rPr>
      </w:pPr>
    </w:p>
    <w:p w14:paraId="70269000" w14:textId="77777777" w:rsidR="005852C2" w:rsidRDefault="00C337B6">
      <w:pPr>
        <w:numPr>
          <w:ilvl w:val="0"/>
          <w:numId w:val="2"/>
        </w:numPr>
        <w:rPr>
          <w:iCs/>
        </w:rPr>
      </w:pPr>
      <w:r>
        <w:rPr>
          <w:iCs/>
        </w:rPr>
        <w:t>Добавлена строка 203 «номера новые, введенные в отчетном месяце». Если КСР введено в действие в отчетном месяце, то строка 203 должна быть равна строке 201 «Число номеров – всего».</w:t>
      </w:r>
    </w:p>
    <w:p w14:paraId="126F4710" w14:textId="77777777" w:rsidR="005852C2" w:rsidRDefault="00C337B6">
      <w:pPr>
        <w:numPr>
          <w:ilvl w:val="0"/>
          <w:numId w:val="2"/>
        </w:numPr>
        <w:rPr>
          <w:iCs/>
        </w:rPr>
      </w:pPr>
      <w:r>
        <w:rPr>
          <w:iCs/>
        </w:rPr>
        <w:t>Добавлена строка</w:t>
      </w:r>
      <w:r>
        <w:rPr>
          <w:iCs/>
        </w:rPr>
        <w:t xml:space="preserve"> 204 «Число проданных номеров (ежесуточно) (для гостиниц)». Гостиницы, отметившие «1» в графе 1 по строке 101 «гостиница», показывают сумму проданных (занятых постояльцами) номеров за каждые сутки отчетного месяца. Номер считается занятым, если в нем прожи</w:t>
      </w:r>
      <w:r>
        <w:rPr>
          <w:iCs/>
        </w:rPr>
        <w:t>вает хотя бы один постоялец, независимо от общего количества мест, на которые рассчитан номер.</w:t>
      </w:r>
    </w:p>
    <w:p w14:paraId="5205FC6A" w14:textId="77777777" w:rsidR="005852C2" w:rsidRDefault="005852C2">
      <w:pPr>
        <w:ind w:left="709" w:firstLine="0"/>
        <w:rPr>
          <w:iCs/>
        </w:rPr>
      </w:pPr>
    </w:p>
    <w:p w14:paraId="4AB152E9" w14:textId="77777777" w:rsidR="005852C2" w:rsidRDefault="00C337B6">
      <w:pPr>
        <w:rPr>
          <w:iCs/>
        </w:rPr>
      </w:pPr>
      <w:r>
        <w:rPr>
          <w:iCs/>
        </w:rPr>
        <w:t>Раздел 3. Сведения о размещенных лицах и доходах от предоставляемых услуг</w:t>
      </w:r>
    </w:p>
    <w:p w14:paraId="0FC69DC6" w14:textId="77777777" w:rsidR="005852C2" w:rsidRDefault="005852C2">
      <w:pPr>
        <w:rPr>
          <w:iCs/>
        </w:rPr>
      </w:pPr>
    </w:p>
    <w:p w14:paraId="519F6256" w14:textId="77777777" w:rsidR="005852C2" w:rsidRDefault="00C337B6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Добавлена строка 314 «Доходы от услуг размещения (от продажи номеров и от реализации </w:t>
      </w:r>
      <w:r>
        <w:rPr>
          <w:iCs/>
        </w:rPr>
        <w:t xml:space="preserve">путевок)». По этой строке показывается величина доходов, полученных от предоставления услуг размещения (в размере стоимости номера и этих услуг, оплаченных потребителем в составе турпакета, т.е. в составе стоимости туристской или санаторно-оздоровительной </w:t>
      </w:r>
      <w:r>
        <w:rPr>
          <w:iCs/>
        </w:rPr>
        <w:t>путевки).</w:t>
      </w:r>
    </w:p>
    <w:p w14:paraId="6A8C59ED" w14:textId="77777777" w:rsidR="005852C2" w:rsidRDefault="00C337B6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Добавлена строка 315 «Доходы от общественного питания, не входящего в стоимость номера/путевки». По этой строке показывается сумма доходов КСР от оказания услуг общественного питания столовыми, кафе, ресторанами, барами, закусочными, не входящая </w:t>
      </w:r>
      <w:r>
        <w:rPr>
          <w:iCs/>
        </w:rPr>
        <w:t>в стоимость номера или путевки.</w:t>
      </w:r>
    </w:p>
    <w:p w14:paraId="2562CD63" w14:textId="77777777" w:rsidR="005852C2" w:rsidRDefault="005852C2">
      <w:pPr>
        <w:pStyle w:val="25"/>
        <w:spacing w:line="276" w:lineRule="auto"/>
        <w:jc w:val="left"/>
        <w:rPr>
          <w:b w:val="0"/>
          <w:sz w:val="16"/>
          <w:szCs w:val="16"/>
        </w:rPr>
      </w:pPr>
    </w:p>
    <w:p w14:paraId="5A6E2535" w14:textId="77777777" w:rsidR="005852C2" w:rsidRDefault="005852C2"/>
    <w:sectPr w:rsidR="005852C2">
      <w:footerReference w:type="first" r:id="rId7"/>
      <w:pgSz w:w="11906" w:h="16838"/>
      <w:pgMar w:top="1134" w:right="567" w:bottom="1134" w:left="1134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834" w14:textId="77777777" w:rsidR="005852C2" w:rsidRDefault="00C337B6">
      <w:r>
        <w:separator/>
      </w:r>
    </w:p>
  </w:endnote>
  <w:endnote w:type="continuationSeparator" w:id="0">
    <w:p w14:paraId="15A0AC13" w14:textId="77777777" w:rsidR="005852C2" w:rsidRDefault="00C3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456" w14:textId="77777777" w:rsidR="005852C2" w:rsidRDefault="005852C2">
    <w:pPr>
      <w:spacing w:line="276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3EB7" w14:textId="77777777" w:rsidR="005852C2" w:rsidRDefault="00C337B6">
      <w:r>
        <w:separator/>
      </w:r>
    </w:p>
  </w:footnote>
  <w:footnote w:type="continuationSeparator" w:id="0">
    <w:p w14:paraId="55AFEDE4" w14:textId="77777777" w:rsidR="005852C2" w:rsidRDefault="00C3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42"/>
    <w:multiLevelType w:val="hybridMultilevel"/>
    <w:tmpl w:val="0B5E5688"/>
    <w:lvl w:ilvl="0" w:tplc="15A83A6A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3D58BD2A">
      <w:start w:val="1"/>
      <w:numFmt w:val="lowerLetter"/>
      <w:lvlText w:val="%2."/>
      <w:lvlJc w:val="left"/>
      <w:pPr>
        <w:ind w:left="1789" w:hanging="360"/>
      </w:pPr>
    </w:lvl>
    <w:lvl w:ilvl="2" w:tplc="94ECB54A">
      <w:start w:val="1"/>
      <w:numFmt w:val="lowerRoman"/>
      <w:lvlText w:val="%3."/>
      <w:lvlJc w:val="right"/>
      <w:pPr>
        <w:ind w:left="2509" w:hanging="180"/>
      </w:pPr>
    </w:lvl>
    <w:lvl w:ilvl="3" w:tplc="7C066DD2">
      <w:start w:val="1"/>
      <w:numFmt w:val="decimal"/>
      <w:lvlText w:val="%4."/>
      <w:lvlJc w:val="left"/>
      <w:pPr>
        <w:ind w:left="3229" w:hanging="360"/>
      </w:pPr>
    </w:lvl>
    <w:lvl w:ilvl="4" w:tplc="79985410">
      <w:start w:val="1"/>
      <w:numFmt w:val="lowerLetter"/>
      <w:lvlText w:val="%5."/>
      <w:lvlJc w:val="left"/>
      <w:pPr>
        <w:ind w:left="3949" w:hanging="360"/>
      </w:pPr>
    </w:lvl>
    <w:lvl w:ilvl="5" w:tplc="7986A318">
      <w:start w:val="1"/>
      <w:numFmt w:val="lowerRoman"/>
      <w:lvlText w:val="%6."/>
      <w:lvlJc w:val="right"/>
      <w:pPr>
        <w:ind w:left="4669" w:hanging="180"/>
      </w:pPr>
    </w:lvl>
    <w:lvl w:ilvl="6" w:tplc="4FA83A86">
      <w:start w:val="1"/>
      <w:numFmt w:val="decimal"/>
      <w:lvlText w:val="%7."/>
      <w:lvlJc w:val="left"/>
      <w:pPr>
        <w:ind w:left="5389" w:hanging="360"/>
      </w:pPr>
    </w:lvl>
    <w:lvl w:ilvl="7" w:tplc="A2C62D58">
      <w:start w:val="1"/>
      <w:numFmt w:val="lowerLetter"/>
      <w:lvlText w:val="%8."/>
      <w:lvlJc w:val="left"/>
      <w:pPr>
        <w:ind w:left="6109" w:hanging="360"/>
      </w:pPr>
    </w:lvl>
    <w:lvl w:ilvl="8" w:tplc="1520D9A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93721"/>
    <w:multiLevelType w:val="hybridMultilevel"/>
    <w:tmpl w:val="64B8763C"/>
    <w:lvl w:ilvl="0" w:tplc="7EE8F11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B48EB34">
      <w:start w:val="1"/>
      <w:numFmt w:val="lowerLetter"/>
      <w:lvlText w:val="%2."/>
      <w:lvlJc w:val="left"/>
      <w:pPr>
        <w:ind w:left="1789" w:hanging="360"/>
      </w:pPr>
    </w:lvl>
    <w:lvl w:ilvl="2" w:tplc="EDD6C262">
      <w:start w:val="1"/>
      <w:numFmt w:val="lowerRoman"/>
      <w:lvlText w:val="%3."/>
      <w:lvlJc w:val="right"/>
      <w:pPr>
        <w:ind w:left="2509" w:hanging="180"/>
      </w:pPr>
    </w:lvl>
    <w:lvl w:ilvl="3" w:tplc="B5D2EBFE">
      <w:start w:val="1"/>
      <w:numFmt w:val="decimal"/>
      <w:lvlText w:val="%4."/>
      <w:lvlJc w:val="left"/>
      <w:pPr>
        <w:ind w:left="3229" w:hanging="360"/>
      </w:pPr>
    </w:lvl>
    <w:lvl w:ilvl="4" w:tplc="24FC57E6">
      <w:start w:val="1"/>
      <w:numFmt w:val="lowerLetter"/>
      <w:lvlText w:val="%5."/>
      <w:lvlJc w:val="left"/>
      <w:pPr>
        <w:ind w:left="3949" w:hanging="360"/>
      </w:pPr>
    </w:lvl>
    <w:lvl w:ilvl="5" w:tplc="84E6F9BA">
      <w:start w:val="1"/>
      <w:numFmt w:val="lowerRoman"/>
      <w:lvlText w:val="%6."/>
      <w:lvlJc w:val="right"/>
      <w:pPr>
        <w:ind w:left="4669" w:hanging="180"/>
      </w:pPr>
    </w:lvl>
    <w:lvl w:ilvl="6" w:tplc="191CB7D6">
      <w:start w:val="1"/>
      <w:numFmt w:val="decimal"/>
      <w:lvlText w:val="%7."/>
      <w:lvlJc w:val="left"/>
      <w:pPr>
        <w:ind w:left="5389" w:hanging="360"/>
      </w:pPr>
    </w:lvl>
    <w:lvl w:ilvl="7" w:tplc="15443D56">
      <w:start w:val="1"/>
      <w:numFmt w:val="lowerLetter"/>
      <w:lvlText w:val="%8."/>
      <w:lvlJc w:val="left"/>
      <w:pPr>
        <w:ind w:left="6109" w:hanging="360"/>
      </w:pPr>
    </w:lvl>
    <w:lvl w:ilvl="8" w:tplc="7E680452">
      <w:start w:val="1"/>
      <w:numFmt w:val="lowerRoman"/>
      <w:lvlText w:val="%9."/>
      <w:lvlJc w:val="right"/>
      <w:pPr>
        <w:ind w:left="6829" w:hanging="180"/>
      </w:pPr>
    </w:lvl>
  </w:abstractNum>
  <w:num w:numId="1" w16cid:durableId="248317943">
    <w:abstractNumId w:val="1"/>
  </w:num>
  <w:num w:numId="2" w16cid:durableId="72156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C2"/>
    <w:rsid w:val="005852C2"/>
    <w:rsid w:val="00C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212D6"/>
  <w15:docId w15:val="{89C3A278-A2A5-45FB-A531-055E875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25">
    <w:name w:val="Обычный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Личадеева Ирина Юрьевна</dc:creator>
  <cp:keywords/>
  <dc:description/>
  <cp:lastModifiedBy>Личадеева Ирина Юрьевна</cp:lastModifiedBy>
  <cp:revision>2</cp:revision>
  <dcterms:created xsi:type="dcterms:W3CDTF">2024-01-18T09:55:00Z</dcterms:created>
  <dcterms:modified xsi:type="dcterms:W3CDTF">2024-01-18T09:55:00Z</dcterms:modified>
</cp:coreProperties>
</file>